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郑州少林武术中等专业学校文件</w:t>
      </w:r>
    </w:p>
    <w:p>
      <w:pPr>
        <w:spacing w:line="220" w:lineRule="atLeast"/>
        <w:jc w:val="center"/>
        <w:rPr>
          <w:rFonts w:asciiTheme="minorEastAsia" w:hAnsiTheme="minorEastAsia" w:eastAsiaTheme="minorEastAsia"/>
          <w:sz w:val="28"/>
          <w:szCs w:val="28"/>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中等职业教育质量报告（2018年）</w:t>
      </w:r>
    </w:p>
    <w:p>
      <w:pPr>
        <w:spacing w:after="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根据《河南省教育厅办公室关于做好2018年度中等职业教育质量报告编制和发布的通知》（教办职成[2018]854号）和《郑州市教育局关于做好2018年度中等职业教育质量报告编制和发布工作的通知》要求，现发布《郑州少林武术中等专业学校中等职业教育质量报告（2018年）》。</w:t>
      </w: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p>
    <w:p>
      <w:pPr>
        <w:spacing w:after="0"/>
        <w:jc w:val="right"/>
        <w:rPr>
          <w:rFonts w:asciiTheme="minorEastAsia" w:hAnsiTheme="minorEastAsia" w:eastAsiaTheme="minorEastAsia"/>
          <w:sz w:val="32"/>
          <w:szCs w:val="32"/>
        </w:rPr>
      </w:pPr>
      <w:r>
        <w:rPr>
          <w:rFonts w:hint="eastAsia" w:asciiTheme="minorEastAsia" w:hAnsiTheme="minorEastAsia" w:eastAsiaTheme="minorEastAsia"/>
          <w:sz w:val="32"/>
          <w:szCs w:val="32"/>
        </w:rPr>
        <w:t>郑州少林武术中等专业学校                                                                                                      2019年2月22日</w:t>
      </w:r>
    </w:p>
    <w:p>
      <w:pPr>
        <w:spacing w:line="220" w:lineRule="atLeast"/>
        <w:jc w:val="center"/>
        <w:rPr>
          <w:rFonts w:asciiTheme="minorEastAsia" w:hAnsiTheme="minorEastAsia" w:eastAsiaTheme="minorEastAsia"/>
          <w:sz w:val="32"/>
          <w:szCs w:val="32"/>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p>
    <w:p>
      <w:pPr>
        <w:spacing w:line="22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郑州少林武术中等专业学校</w:t>
      </w:r>
    </w:p>
    <w:p>
      <w:pPr>
        <w:spacing w:line="22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中等职业教育质量年度报告（ 2018年）</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河南省教育厅办公室关于做好2018年度中等职业教育质量报告编制和发布的通知》（教办职成[2018]854号）和《郑州市教育局关于做好2018年度中等职业教育质量报告编制和发布工作的通知》要求，现将本校2018年度中等职业教育质量报告如下：</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1.学校情况</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1.1学校概况</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郑州少林武术中等专业学校隶属于郑州少林武术专修学院，由当代少林拳派代表人朱天喜大师创办于1986年，原址位于郑州市金水区庙里，后因城中村改造于2007年迁入新郑市新村大道。由于新村校址满足不了现在的教育教学，在新郑市政府及市教育局的大力支持下，于2015年8月搬迁至现在的校址新郑市具茨山国家级森林公园管理委员会同源街。属于民办非企业单位，主要为全国乃至世界培养武术人才，传承少林文化，以及农村劳动力转移培训和企事业单位职工技能培训等社会服务。立足中国传统文化精粹，结合先进教育理念、教学方法，以文化为主、武术为特长、英语为特色，医学为辅助，寓强身、励志、精术、弘道于一体，全面发展学生潜力。实施寄宿制、封闭式军事化管理。  </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校园面积为31719.39平方米（近50亩），其中建筑面积为</w:t>
      </w:r>
      <w:r>
        <w:rPr>
          <w:rFonts w:hint="eastAsia" w:asciiTheme="minorEastAsia" w:hAnsiTheme="minorEastAsia" w:eastAsiaTheme="minorEastAsia"/>
          <w:sz w:val="28"/>
          <w:szCs w:val="28"/>
          <w:lang w:val="en-US" w:eastAsia="zh-CN"/>
        </w:rPr>
        <w:t>80</w:t>
      </w:r>
      <w:r>
        <w:rPr>
          <w:rFonts w:hint="eastAsia" w:asciiTheme="minorEastAsia" w:hAnsiTheme="minorEastAsia" w:eastAsiaTheme="minorEastAsia"/>
          <w:sz w:val="28"/>
          <w:szCs w:val="28"/>
        </w:rPr>
        <w:t>62.</w:t>
      </w:r>
      <w:r>
        <w:rPr>
          <w:rFonts w:asciiTheme="minorEastAsia" w:hAnsiTheme="minorEastAsia" w:eastAsiaTheme="minorEastAsia"/>
          <w:sz w:val="28"/>
          <w:szCs w:val="28"/>
        </w:rPr>
        <w:t>34</w:t>
      </w:r>
      <w:r>
        <w:rPr>
          <w:rFonts w:hint="eastAsia" w:asciiTheme="minorEastAsia" w:hAnsiTheme="minorEastAsia" w:eastAsiaTheme="minorEastAsia"/>
          <w:sz w:val="28"/>
          <w:szCs w:val="28"/>
        </w:rPr>
        <w:t>平方米，实验、实训场地面积为2800.7平方米，学校总资产为2078.12万元，其中固定资产</w:t>
      </w:r>
      <w:r>
        <w:rPr>
          <w:rFonts w:hint="eastAsia" w:asciiTheme="minorEastAsia" w:hAnsiTheme="minorEastAsia" w:eastAsiaTheme="minorEastAsia"/>
          <w:sz w:val="28"/>
          <w:szCs w:val="28"/>
          <w:lang w:val="en-US" w:eastAsia="zh-CN"/>
        </w:rPr>
        <w:t>771.74</w:t>
      </w:r>
      <w:r>
        <w:rPr>
          <w:rFonts w:hint="eastAsia" w:asciiTheme="minorEastAsia" w:hAnsiTheme="minorEastAsia" w:eastAsiaTheme="minorEastAsia"/>
          <w:sz w:val="28"/>
          <w:szCs w:val="28"/>
        </w:rPr>
        <w:t>万元。</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是一所特色鲜明、风格新颖的生态型、园林式学校，整体布局合理，功能区划分清晰，学校内部设施齐全，机构完善，是学文练武，习艺修身的理想院校，是首批全国先进武术馆校；河南省十佳武术馆校；是国家武术段位制首批教学试点院校；是规定少林拳的编写和演练院校。学校创办有少林养心堂连锁店，集治疗、养生、健身、禅修为一体，服务大众、造福社会。</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自办学以来，学院连年被省、市教委评为河南省社会力量办学先进单位，河南省民办高校先进院校；被河南省体委、河南省武术协会评为河南省十佳武术馆校；1996年被国家体育总局命名为全国先进武术馆校。</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郑州少林武术中等专业学校是被中国武术研究院、国家武术运动管理中心最早列为武术段位制的试点院校，是国家武术运动管理中心少林拳系列规定套路的演练编写院校。在国际上重视开展对外交流，为美、法、日、俄、荷兰、意大利、新加坡、澳大利亚、西班牙、匈牙利、阿根廷和香港、澳门、台湾等17个国家和地区培训武术人才，建立校际关系，世界各地武术专业人员和研究人员每年都有近百人到学院交流访问，学院每年也派出教练和学生出国交流访问和表演，外事活动频繁。目前，郑州少林武术中等专业学校正努力适应社会主义市场经济对人才的需求，积极探索新的办学路子，向国内领先、国际先进的武术学校目标迈进！</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1.2  学生情况</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学生概况见表一：</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表一：在校生概况</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trPr>
        <w:tc>
          <w:tcPr>
            <w:tcW w:w="2321"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w:t>
            </w:r>
          </w:p>
        </w:tc>
        <w:tc>
          <w:tcPr>
            <w:tcW w:w="2321"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2016-2017学年度</w:t>
            </w:r>
          </w:p>
        </w:tc>
        <w:tc>
          <w:tcPr>
            <w:tcW w:w="2322"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2017-2018学年度</w:t>
            </w:r>
          </w:p>
        </w:tc>
        <w:tc>
          <w:tcPr>
            <w:tcW w:w="2322"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trPr>
        <w:tc>
          <w:tcPr>
            <w:tcW w:w="2321" w:type="dxa"/>
            <w:vAlign w:val="center"/>
          </w:tcPr>
          <w:p>
            <w:pPr>
              <w:spacing w:after="0" w:line="22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在校生规模</w:t>
            </w:r>
          </w:p>
        </w:tc>
        <w:tc>
          <w:tcPr>
            <w:tcW w:w="2321"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196</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379</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trPr>
        <w:tc>
          <w:tcPr>
            <w:tcW w:w="2321" w:type="dxa"/>
            <w:vAlign w:val="center"/>
          </w:tcPr>
          <w:p>
            <w:pPr>
              <w:spacing w:after="0" w:line="22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毕业生规模</w:t>
            </w:r>
          </w:p>
        </w:tc>
        <w:tc>
          <w:tcPr>
            <w:tcW w:w="2321"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26</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45</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trPr>
        <w:tc>
          <w:tcPr>
            <w:tcW w:w="2321" w:type="dxa"/>
            <w:vAlign w:val="center"/>
          </w:tcPr>
          <w:p>
            <w:pPr>
              <w:spacing w:after="0" w:line="22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巩固率</w:t>
            </w:r>
          </w:p>
        </w:tc>
        <w:tc>
          <w:tcPr>
            <w:tcW w:w="2321"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86%</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90%</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trPr>
        <w:tc>
          <w:tcPr>
            <w:tcW w:w="2321" w:type="dxa"/>
            <w:vAlign w:val="center"/>
          </w:tcPr>
          <w:p>
            <w:pPr>
              <w:spacing w:after="0" w:line="22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培训规模</w:t>
            </w:r>
          </w:p>
        </w:tc>
        <w:tc>
          <w:tcPr>
            <w:tcW w:w="2321"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1920人</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1980人</w:t>
            </w:r>
          </w:p>
        </w:tc>
        <w:tc>
          <w:tcPr>
            <w:tcW w:w="2322" w:type="dxa"/>
            <w:vAlign w:val="center"/>
          </w:tcPr>
          <w:p>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60人</w:t>
            </w:r>
          </w:p>
        </w:tc>
      </w:tr>
    </w:tbl>
    <w:p>
      <w:pPr>
        <w:spacing w:line="220" w:lineRule="atLeast"/>
        <w:ind w:firstLine="420" w:firstLineChars="150"/>
        <w:rPr>
          <w:rFonts w:asciiTheme="minorEastAsia" w:hAnsiTheme="minorEastAsia" w:eastAsiaTheme="minorEastAsia"/>
          <w:sz w:val="28"/>
          <w:szCs w:val="28"/>
        </w:rPr>
      </w:pPr>
    </w:p>
    <w:p>
      <w:pPr>
        <w:spacing w:line="220" w:lineRule="atLeas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一年来,中职在校生规模比上年增加</w:t>
      </w:r>
      <w:r>
        <w:rPr>
          <w:rFonts w:hint="eastAsia" w:asciiTheme="minorEastAsia" w:hAnsiTheme="minorEastAsia" w:eastAsiaTheme="minorEastAsia"/>
          <w:color w:val="C00000"/>
          <w:sz w:val="28"/>
          <w:szCs w:val="28"/>
        </w:rPr>
        <w:t>33.3</w:t>
      </w:r>
      <w:r>
        <w:rPr>
          <w:rFonts w:hint="eastAsia" w:asciiTheme="minorEastAsia" w:hAnsiTheme="minorEastAsia" w:eastAsiaTheme="minorEastAsia"/>
          <w:sz w:val="28"/>
          <w:szCs w:val="28"/>
        </w:rPr>
        <w:t>%，其原因主要有两方面：一是2018年学校招生总数</w:t>
      </w:r>
      <w:r>
        <w:rPr>
          <w:rFonts w:hint="eastAsia" w:asciiTheme="minorEastAsia" w:hAnsiTheme="minorEastAsia" w:eastAsiaTheme="minorEastAsia"/>
          <w:color w:val="C00000"/>
          <w:sz w:val="28"/>
          <w:szCs w:val="28"/>
        </w:rPr>
        <w:t>78</w:t>
      </w:r>
      <w:r>
        <w:rPr>
          <w:rFonts w:hint="eastAsia" w:asciiTheme="minorEastAsia" w:hAnsiTheme="minorEastAsia" w:eastAsiaTheme="minorEastAsia"/>
          <w:sz w:val="28"/>
          <w:szCs w:val="28"/>
        </w:rPr>
        <w:t>人，比2016年的</w:t>
      </w:r>
      <w:r>
        <w:rPr>
          <w:rFonts w:hint="eastAsia" w:asciiTheme="minorEastAsia" w:hAnsiTheme="minorEastAsia" w:eastAsiaTheme="minorEastAsia"/>
          <w:color w:val="C00000"/>
          <w:sz w:val="28"/>
          <w:szCs w:val="28"/>
        </w:rPr>
        <w:t>73</w:t>
      </w:r>
      <w:r>
        <w:rPr>
          <w:rFonts w:hint="eastAsia" w:asciiTheme="minorEastAsia" w:hAnsiTheme="minorEastAsia" w:eastAsiaTheme="minorEastAsia"/>
          <w:sz w:val="28"/>
          <w:szCs w:val="28"/>
        </w:rPr>
        <w:t>有所增加；二是通过加强管理，学校将学生巩固率与班主任绩效考核挂钩，学生巩固率得到了有效提升。但由于受到种种因素的制约，学生巩固率还有进一步提升的空间。</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1.3教师队伍</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教师队伍基本情况见表二：</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表二:教师队伍概况对比表</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w:t>
            </w:r>
          </w:p>
        </w:tc>
        <w:tc>
          <w:tcPr>
            <w:tcW w:w="2321"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2016</w:t>
            </w:r>
            <w:r>
              <w:rPr>
                <w:rFonts w:asciiTheme="minorEastAsia" w:hAnsiTheme="minorEastAsia" w:eastAsiaTheme="minorEastAsia"/>
                <w:sz w:val="24"/>
                <w:szCs w:val="24"/>
              </w:rPr>
              <w:t>—</w:t>
            </w:r>
            <w:r>
              <w:rPr>
                <w:rFonts w:hint="eastAsia" w:asciiTheme="minorEastAsia" w:hAnsiTheme="minorEastAsia" w:eastAsiaTheme="minorEastAsia"/>
                <w:sz w:val="24"/>
                <w:szCs w:val="24"/>
              </w:rPr>
              <w:t>2017学年度</w:t>
            </w:r>
          </w:p>
        </w:tc>
        <w:tc>
          <w:tcPr>
            <w:tcW w:w="2322"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2017</w:t>
            </w:r>
            <w:r>
              <w:rPr>
                <w:rFonts w:asciiTheme="minorEastAsia" w:hAnsiTheme="minorEastAsia" w:eastAsiaTheme="minorEastAsia"/>
                <w:sz w:val="24"/>
                <w:szCs w:val="24"/>
              </w:rPr>
              <w:t>—</w:t>
            </w:r>
            <w:r>
              <w:rPr>
                <w:rFonts w:hint="eastAsia" w:asciiTheme="minorEastAsia" w:hAnsiTheme="minorEastAsia" w:eastAsiaTheme="minorEastAsia"/>
                <w:sz w:val="24"/>
                <w:szCs w:val="24"/>
              </w:rPr>
              <w:t>2018学年度</w:t>
            </w:r>
          </w:p>
        </w:tc>
        <w:tc>
          <w:tcPr>
            <w:tcW w:w="2322"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生师比</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12.3:1</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13.1:1</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+0.8：1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“双师型”教师比例</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12.5%</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10.3%</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专业课专任教师占比</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61.54%</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61%</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专任教师本科以</w:t>
            </w:r>
          </w:p>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上学历比例</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87.50%</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87.6%</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专任教师硕士以</w:t>
            </w:r>
          </w:p>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上学历比例</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6.25%</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10.3%</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2321" w:type="dxa"/>
            <w:vAlign w:val="center"/>
          </w:tcPr>
          <w:p>
            <w:pPr>
              <w:spacing w:after="0" w:line="220"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rPr>
              <w:t>获得执业资格的专任专业教师比例</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75.0%</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76%</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p>
        </w:tc>
      </w:tr>
    </w:tbl>
    <w:p>
      <w:pPr>
        <w:spacing w:line="220" w:lineRule="atLeast"/>
        <w:rPr>
          <w:rFonts w:asciiTheme="minorEastAsia" w:hAnsiTheme="minorEastAsia" w:eastAsiaTheme="minorEastAsia"/>
          <w:color w:val="000000" w:themeColor="text1"/>
          <w:sz w:val="28"/>
          <w:szCs w:val="28"/>
        </w:rPr>
      </w:pPr>
    </w:p>
    <w:p>
      <w:pPr>
        <w:spacing w:line="220" w:lineRule="atLeas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一年来，在学校总共</w:t>
      </w:r>
      <w:r>
        <w:rPr>
          <w:rFonts w:hint="eastAsia" w:asciiTheme="minorEastAsia" w:hAnsiTheme="minorEastAsia" w:eastAsiaTheme="minorEastAsia"/>
          <w:color w:val="000000" w:themeColor="text1"/>
          <w:sz w:val="28"/>
          <w:szCs w:val="28"/>
          <w:lang w:val="en-US" w:eastAsia="zh-CN"/>
        </w:rPr>
        <w:t>26</w:t>
      </w:r>
      <w:r>
        <w:rPr>
          <w:rFonts w:hint="eastAsia" w:asciiTheme="minorEastAsia" w:hAnsiTheme="minorEastAsia" w:eastAsiaTheme="minorEastAsia"/>
          <w:color w:val="000000" w:themeColor="text1"/>
          <w:sz w:val="28"/>
          <w:szCs w:val="28"/>
        </w:rPr>
        <w:t>名专任教师中，随着中职学生数的增加，生师比有所降低。学校采取激励措施，组织教师积极参加学历提升与技能考评，有1名教师完成硕士学历提升，2名教师获得执业资格。</w:t>
      </w:r>
      <w:bookmarkStart w:id="0" w:name="_GoBack"/>
      <w:bookmarkEnd w:id="0"/>
    </w:p>
    <w:p>
      <w:pPr>
        <w:spacing w:line="220" w:lineRule="atLeas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1.4设施设备</w:t>
      </w: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学校设施设备情况如表三：</w:t>
      </w:r>
    </w:p>
    <w:p>
      <w:pPr>
        <w:spacing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表三：学校设备设施投入情况汇总表</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trPr>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 目</w:t>
            </w:r>
          </w:p>
        </w:tc>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2016-2017学年度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2017-2018学年度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生均教学仪器设</w:t>
            </w:r>
          </w:p>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备值</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2030.7元</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2895.5元</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+864.8元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生均实训实习工</w:t>
            </w:r>
          </w:p>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位数</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1.49个</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1.52个</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+0.03个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生均纸质图书</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27.6册</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32.6册</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生均电子图书</w:t>
            </w:r>
          </w:p>
        </w:tc>
        <w:tc>
          <w:tcPr>
            <w:tcW w:w="2321"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20.82册</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25.22册</w:t>
            </w:r>
          </w:p>
        </w:tc>
        <w:tc>
          <w:tcPr>
            <w:tcW w:w="2322" w:type="dxa"/>
            <w:vAlign w:val="center"/>
          </w:tcPr>
          <w:p>
            <w:pPr>
              <w:spacing w:after="0"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+4.4册</w:t>
            </w:r>
          </w:p>
        </w:tc>
      </w:tr>
    </w:tbl>
    <w:p>
      <w:pPr>
        <w:spacing w:line="220" w:lineRule="atLeast"/>
        <w:rPr>
          <w:rFonts w:asciiTheme="minorEastAsia" w:hAnsiTheme="minorEastAsia" w:eastAsiaTheme="minorEastAsia"/>
          <w:color w:val="000000" w:themeColor="text1"/>
          <w:sz w:val="28"/>
          <w:szCs w:val="28"/>
        </w:rPr>
      </w:pP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学校加大投入，人均增加988元。学校在图书采购及网上学习资源的采购方面也有了一些进步，生均增加纸质图书5册、电子图书4.4册。</w:t>
      </w:r>
    </w:p>
    <w:p>
      <w:pPr>
        <w:spacing w:line="220" w:lineRule="atLeas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2. 学生发展</w:t>
      </w:r>
    </w:p>
    <w:p>
      <w:pPr>
        <w:spacing w:line="220" w:lineRule="atLeas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2.1学生素质</w:t>
      </w: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显示学生素质的相关指标见表四：</w:t>
      </w:r>
    </w:p>
    <w:p>
      <w:pPr>
        <w:spacing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表四:学生综合素质相关指标</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8" w:hRule="atLeast"/>
        </w:trPr>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 目</w:t>
            </w:r>
          </w:p>
        </w:tc>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2016-2017学年度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2017-2018学年度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8"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文化课合格率</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90.2%</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92.7%</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8"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专业技能合格率</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87.2%</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88.5%</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8" w:hRule="atLeast"/>
        </w:trPr>
        <w:tc>
          <w:tcPr>
            <w:tcW w:w="2321" w:type="dxa"/>
            <w:vAlign w:val="center"/>
          </w:tcPr>
          <w:p>
            <w:pPr>
              <w:spacing w:after="0" w:line="220" w:lineRule="atLeast"/>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体质测评合格率</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90.63%</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92.16%</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8" w:hRule="atLeast"/>
        </w:trPr>
        <w:tc>
          <w:tcPr>
            <w:tcW w:w="2321" w:type="dxa"/>
            <w:vAlign w:val="center"/>
          </w:tcPr>
          <w:p>
            <w:pPr>
              <w:spacing w:after="0" w:line="220" w:lineRule="atLeast"/>
              <w:jc w:val="both"/>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毕业率</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79.17%</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81.91%</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+2.74%</w:t>
            </w:r>
          </w:p>
        </w:tc>
      </w:tr>
    </w:tbl>
    <w:p>
      <w:pPr>
        <w:spacing w:line="220" w:lineRule="atLeast"/>
        <w:ind w:firstLine="280" w:firstLineChars="100"/>
        <w:rPr>
          <w:rFonts w:asciiTheme="minorEastAsia" w:hAnsiTheme="minorEastAsia" w:eastAsiaTheme="minorEastAsia"/>
          <w:color w:val="000000" w:themeColor="text1"/>
          <w:sz w:val="28"/>
          <w:szCs w:val="28"/>
        </w:rPr>
      </w:pPr>
    </w:p>
    <w:p>
      <w:pPr>
        <w:spacing w:line="220" w:lineRule="atLeast"/>
        <w:ind w:firstLine="280" w:firstLineChars="1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一学年来，学生的文化课合格率从90.2%微升至92.7%，证明学校在狠抓课堂教学质量方面取得了一定进展，但还有提升空间；专业技能合格率从87.2%微升1.3%，达88.5%，说明学校专业技能教学方面提升空间还较大；学生体质测评合格率从90.63%微升1.53%，达92.16%，说明学生体质还有待提升；毕业率从79.17%提升到81.91%，微升2.74%，说明虽然一年来学校的提升巩固率工作显现出一定成效，但提升空间还比较大，中途流失学生问题仍值得高度关注。</w:t>
      </w:r>
    </w:p>
    <w:p>
      <w:pPr>
        <w:spacing w:line="220" w:lineRule="atLeas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2.2在校体验</w:t>
      </w: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通过抽样调查，学生在校体验情况见表五：</w:t>
      </w:r>
    </w:p>
    <w:p>
      <w:pPr>
        <w:spacing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表五：学生在校体验情况汇总表</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 目</w:t>
            </w:r>
          </w:p>
        </w:tc>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2016-2017学年度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2017-2018学年度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理论学习满意度</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83.5%</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88.3%</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专业学习满意度</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95.3%</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96.2%</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实习实训满意度</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95.7%</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97.5%</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校园文化与社团活满意度</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96.7%</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99.5%</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both"/>
              <w:rPr>
                <w:rFonts w:asciiTheme="minorEastAsia" w:hAnsiTheme="minorEastAsia"/>
                <w:color w:val="000000" w:themeColor="text1"/>
                <w:sz w:val="24"/>
                <w:szCs w:val="24"/>
              </w:rPr>
            </w:pPr>
            <w:r>
              <w:rPr>
                <w:rFonts w:hint="eastAsia" w:asciiTheme="minorEastAsia" w:hAnsiTheme="minorEastAsia" w:eastAsiaTheme="minorEastAsia"/>
                <w:color w:val="000000" w:themeColor="text1"/>
                <w:sz w:val="24"/>
                <w:szCs w:val="24"/>
              </w:rPr>
              <w:t>生活满意度</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83.5%</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91.2%</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2321" w:type="dxa"/>
            <w:vAlign w:val="center"/>
          </w:tcPr>
          <w:p>
            <w:pPr>
              <w:spacing w:after="0" w:line="220" w:lineRule="atLeast"/>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毕业生对学校满意度</w:t>
            </w:r>
          </w:p>
        </w:tc>
        <w:tc>
          <w:tcPr>
            <w:tcW w:w="2321"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97.5%</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98.8%</w:t>
            </w:r>
          </w:p>
        </w:tc>
        <w:tc>
          <w:tcPr>
            <w:tcW w:w="2322" w:type="dxa"/>
            <w:vAlign w:val="center"/>
          </w:tcPr>
          <w:p>
            <w:pPr>
              <w:spacing w:after="0" w:line="220" w:lineRule="atLeast"/>
              <w:jc w:val="center"/>
              <w:rPr>
                <w:rFonts w:asciiTheme="minorEastAsia" w:hAnsiTheme="minorEastAsia"/>
                <w:color w:val="000000" w:themeColor="text1"/>
                <w:sz w:val="28"/>
                <w:szCs w:val="28"/>
              </w:rPr>
            </w:pPr>
            <w:r>
              <w:rPr>
                <w:rFonts w:asciiTheme="minorEastAsia" w:hAnsiTheme="minorEastAsia" w:eastAsiaTheme="minorEastAsia"/>
                <w:color w:val="000000" w:themeColor="text1"/>
                <w:sz w:val="28"/>
                <w:szCs w:val="28"/>
              </w:rPr>
              <w:t>+1.3%</w:t>
            </w:r>
          </w:p>
        </w:tc>
      </w:tr>
    </w:tbl>
    <w:p>
      <w:pPr>
        <w:spacing w:line="220" w:lineRule="atLeast"/>
        <w:ind w:firstLine="280" w:firstLineChars="100"/>
        <w:rPr>
          <w:rFonts w:asciiTheme="minorEastAsia" w:hAnsiTheme="minorEastAsia" w:eastAsiaTheme="minorEastAsia"/>
          <w:color w:val="000000" w:themeColor="text1"/>
          <w:sz w:val="28"/>
          <w:szCs w:val="28"/>
        </w:rPr>
      </w:pPr>
    </w:p>
    <w:p>
      <w:pPr>
        <w:spacing w:line="220" w:lineRule="atLeast"/>
        <w:ind w:firstLine="280" w:firstLineChars="1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据抽样调查，88.3%的学生对理论学习感到满意，稍低于对专业学习的满意度96.2%；学生对实习实训的满意度更高，为97.5%；满意率比上年稍有增长；由于学校充分发挥了学校伙食管理委员会的职能作用，学生对食宿的满意度显著增长；而毕业生对学校的满意保持在98.8%的较高位置。</w:t>
      </w:r>
    </w:p>
    <w:p>
      <w:pPr>
        <w:spacing w:line="220" w:lineRule="atLeas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2.3资助情况</w:t>
      </w: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学生资助情况见表六：</w:t>
      </w:r>
    </w:p>
    <w:p>
      <w:pPr>
        <w:spacing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表六：中职学生免学费助学金发放情况汇总表</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 目</w:t>
            </w:r>
          </w:p>
        </w:tc>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2016-2017学年度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2017-2018学年度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人数</w:t>
            </w:r>
          </w:p>
        </w:tc>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146人次</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169人次</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金额</w:t>
            </w:r>
          </w:p>
        </w:tc>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76400元</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111800元</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+35400元</w:t>
            </w:r>
          </w:p>
        </w:tc>
      </w:tr>
    </w:tbl>
    <w:p>
      <w:pPr>
        <w:spacing w:line="220" w:lineRule="atLeast"/>
        <w:rPr>
          <w:rFonts w:asciiTheme="minorEastAsia" w:hAnsiTheme="minorEastAsia" w:eastAsiaTheme="minorEastAsia"/>
          <w:color w:val="000000" w:themeColor="text1"/>
          <w:sz w:val="28"/>
          <w:szCs w:val="28"/>
        </w:rPr>
      </w:pP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上表所列示的助学金为特困生每生的助学金发放情况对照表。</w:t>
      </w:r>
    </w:p>
    <w:p>
      <w:pPr>
        <w:spacing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学生资助情况见表七：</w:t>
      </w:r>
    </w:p>
    <w:p>
      <w:pPr>
        <w:spacing w:line="220" w:lineRule="atLeas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表七：学校对学生资助情况汇总表</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 目</w:t>
            </w:r>
          </w:p>
        </w:tc>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2016-2017学年度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2017-2018学年度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人数</w:t>
            </w:r>
          </w:p>
        </w:tc>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38人</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53人</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+15人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金额</w:t>
            </w:r>
          </w:p>
        </w:tc>
        <w:tc>
          <w:tcPr>
            <w:tcW w:w="2321"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146000元</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109450元</w:t>
            </w:r>
          </w:p>
        </w:tc>
        <w:tc>
          <w:tcPr>
            <w:tcW w:w="2322" w:type="dxa"/>
          </w:tcPr>
          <w:p>
            <w:pPr>
              <w:spacing w:after="0" w:line="220" w:lineRule="atLeas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-36550元</w:t>
            </w:r>
          </w:p>
        </w:tc>
      </w:tr>
    </w:tbl>
    <w:p>
      <w:pPr>
        <w:spacing w:line="220" w:lineRule="atLeast"/>
        <w:rPr>
          <w:rFonts w:asciiTheme="minorEastAsia" w:hAnsiTheme="minorEastAsia" w:eastAsiaTheme="minorEastAsia"/>
          <w:color w:val="000000" w:themeColor="text1"/>
          <w:sz w:val="28"/>
          <w:szCs w:val="28"/>
        </w:rPr>
      </w:pP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上表所示，学校在国家对学生进行资助的情况下，还对贫困学生以减免学费、发放生活补助等形式对学生进行资助，从而确保学生顺利完成学业。</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2.4就业质量</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反映就业质量的相关情况见表九：</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表九：中职学生就业质量对比表</w:t>
      </w:r>
    </w:p>
    <w:tbl>
      <w:tblPr>
        <w:tblStyle w:val="6"/>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 目</w:t>
            </w:r>
          </w:p>
        </w:tc>
        <w:tc>
          <w:tcPr>
            <w:tcW w:w="2321"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2016-2017学年度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2017-2018学年度</w:t>
            </w:r>
          </w:p>
        </w:tc>
        <w:tc>
          <w:tcPr>
            <w:tcW w:w="2322" w:type="dxa"/>
            <w:vAlign w:val="center"/>
          </w:tcPr>
          <w:p>
            <w:pPr>
              <w:spacing w:after="0" w:line="22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2321" w:type="dxa"/>
            <w:vAlign w:val="center"/>
          </w:tcPr>
          <w:p>
            <w:pPr>
              <w:spacing w:after="0" w:line="220" w:lineRule="atLeast"/>
              <w:jc w:val="both"/>
              <w:rPr>
                <w:rFonts w:asciiTheme="minorEastAsia" w:hAnsiTheme="minorEastAsia"/>
                <w:sz w:val="28"/>
                <w:szCs w:val="28"/>
              </w:rPr>
            </w:pPr>
            <w:r>
              <w:rPr>
                <w:rFonts w:hint="eastAsia" w:asciiTheme="minorEastAsia" w:hAnsiTheme="minorEastAsia" w:eastAsiaTheme="minorEastAsia"/>
                <w:sz w:val="28"/>
                <w:szCs w:val="28"/>
              </w:rPr>
              <w:t>就业率</w:t>
            </w:r>
          </w:p>
        </w:tc>
        <w:tc>
          <w:tcPr>
            <w:tcW w:w="2321"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95.8%</w:t>
            </w:r>
          </w:p>
        </w:tc>
        <w:tc>
          <w:tcPr>
            <w:tcW w:w="2322"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100.00%</w:t>
            </w:r>
          </w:p>
        </w:tc>
        <w:tc>
          <w:tcPr>
            <w:tcW w:w="2322"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+4.20%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2321" w:type="dxa"/>
            <w:vAlign w:val="center"/>
          </w:tcPr>
          <w:p>
            <w:pPr>
              <w:spacing w:after="0" w:line="220" w:lineRule="atLeast"/>
              <w:jc w:val="both"/>
              <w:rPr>
                <w:rFonts w:asciiTheme="minorEastAsia" w:hAnsiTheme="minorEastAsia"/>
                <w:sz w:val="28"/>
                <w:szCs w:val="28"/>
              </w:rPr>
            </w:pPr>
            <w:r>
              <w:rPr>
                <w:rFonts w:hint="eastAsia" w:asciiTheme="minorEastAsia" w:hAnsiTheme="minorEastAsia" w:eastAsiaTheme="minorEastAsia"/>
                <w:sz w:val="28"/>
                <w:szCs w:val="28"/>
              </w:rPr>
              <w:t>对口就业率</w:t>
            </w:r>
          </w:p>
        </w:tc>
        <w:tc>
          <w:tcPr>
            <w:tcW w:w="2321"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83.33%</w:t>
            </w:r>
          </w:p>
        </w:tc>
        <w:tc>
          <w:tcPr>
            <w:tcW w:w="2322"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94.59%</w:t>
            </w:r>
          </w:p>
        </w:tc>
        <w:tc>
          <w:tcPr>
            <w:tcW w:w="2322"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+1.26%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2321" w:type="dxa"/>
            <w:vAlign w:val="center"/>
          </w:tcPr>
          <w:p>
            <w:pPr>
              <w:spacing w:after="0" w:line="220" w:lineRule="atLeast"/>
              <w:jc w:val="both"/>
              <w:rPr>
                <w:rFonts w:asciiTheme="minorEastAsia" w:hAnsiTheme="minorEastAsia"/>
                <w:sz w:val="28"/>
                <w:szCs w:val="28"/>
              </w:rPr>
            </w:pPr>
            <w:r>
              <w:rPr>
                <w:rFonts w:hint="eastAsia" w:asciiTheme="minorEastAsia" w:hAnsiTheme="minorEastAsia" w:eastAsiaTheme="minorEastAsia"/>
                <w:sz w:val="28"/>
                <w:szCs w:val="28"/>
              </w:rPr>
              <w:t>初次就业起薪</w:t>
            </w:r>
          </w:p>
        </w:tc>
        <w:tc>
          <w:tcPr>
            <w:tcW w:w="2321"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3200</w:t>
            </w:r>
          </w:p>
        </w:tc>
        <w:tc>
          <w:tcPr>
            <w:tcW w:w="2322"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3900</w:t>
            </w:r>
          </w:p>
        </w:tc>
        <w:tc>
          <w:tcPr>
            <w:tcW w:w="2322" w:type="dxa"/>
            <w:vAlign w:val="center"/>
          </w:tcPr>
          <w:p>
            <w:pPr>
              <w:spacing w:after="0" w:line="220" w:lineRule="atLeast"/>
              <w:jc w:val="center"/>
              <w:rPr>
                <w:rFonts w:asciiTheme="minorEastAsia" w:hAnsiTheme="minorEastAsia"/>
                <w:sz w:val="28"/>
                <w:szCs w:val="28"/>
              </w:rPr>
            </w:pPr>
            <w:r>
              <w:rPr>
                <w:rFonts w:hint="eastAsia" w:asciiTheme="minorEastAsia" w:hAnsiTheme="minorEastAsia" w:eastAsiaTheme="minorEastAsia"/>
                <w:sz w:val="28"/>
                <w:szCs w:val="28"/>
              </w:rPr>
              <w:t>+2.19%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2321" w:type="dxa"/>
            <w:vAlign w:val="center"/>
          </w:tcPr>
          <w:p>
            <w:pPr>
              <w:spacing w:after="0" w:line="22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升入高等教育</w:t>
            </w:r>
          </w:p>
          <w:p>
            <w:pPr>
              <w:spacing w:after="0" w:line="22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比例</w:t>
            </w:r>
          </w:p>
        </w:tc>
        <w:tc>
          <w:tcPr>
            <w:tcW w:w="2321" w:type="dxa"/>
            <w:vAlign w:val="center"/>
          </w:tcPr>
          <w:p>
            <w:pPr>
              <w:spacing w:after="0" w:line="220" w:lineRule="atLeast"/>
              <w:jc w:val="center"/>
              <w:rPr>
                <w:rFonts w:asciiTheme="minorEastAsia" w:hAnsiTheme="minorEastAsia"/>
                <w:sz w:val="28"/>
                <w:szCs w:val="28"/>
              </w:rPr>
            </w:pPr>
            <w:r>
              <w:rPr>
                <w:rFonts w:asciiTheme="minorEastAsia" w:hAnsiTheme="minorEastAsia" w:eastAsiaTheme="minorEastAsia"/>
                <w:sz w:val="28"/>
                <w:szCs w:val="28"/>
              </w:rPr>
              <w:t>7.69%</w:t>
            </w:r>
          </w:p>
        </w:tc>
        <w:tc>
          <w:tcPr>
            <w:tcW w:w="2322" w:type="dxa"/>
            <w:vAlign w:val="center"/>
          </w:tcPr>
          <w:p>
            <w:pPr>
              <w:spacing w:after="0" w:line="220" w:lineRule="atLeast"/>
              <w:jc w:val="center"/>
              <w:rPr>
                <w:rFonts w:asciiTheme="minorEastAsia" w:hAnsiTheme="minorEastAsia"/>
                <w:sz w:val="28"/>
                <w:szCs w:val="28"/>
              </w:rPr>
            </w:pPr>
            <w:r>
              <w:rPr>
                <w:rFonts w:asciiTheme="minorEastAsia" w:hAnsiTheme="minorEastAsia" w:eastAsiaTheme="minorEastAsia"/>
                <w:sz w:val="28"/>
                <w:szCs w:val="28"/>
              </w:rPr>
              <w:t>17.78%</w:t>
            </w:r>
          </w:p>
        </w:tc>
        <w:tc>
          <w:tcPr>
            <w:tcW w:w="2322" w:type="dxa"/>
            <w:vAlign w:val="center"/>
          </w:tcPr>
          <w:p>
            <w:pPr>
              <w:spacing w:after="0" w:line="220" w:lineRule="atLeast"/>
              <w:jc w:val="center"/>
              <w:rPr>
                <w:rFonts w:asciiTheme="minorEastAsia" w:hAnsiTheme="minorEastAsia"/>
                <w:sz w:val="28"/>
                <w:szCs w:val="28"/>
              </w:rPr>
            </w:pPr>
            <w:r>
              <w:rPr>
                <w:rFonts w:asciiTheme="minorEastAsia" w:hAnsiTheme="minorEastAsia" w:eastAsiaTheme="minorEastAsia"/>
                <w:sz w:val="28"/>
                <w:szCs w:val="28"/>
              </w:rPr>
              <w:t>+2.72%</w:t>
            </w:r>
          </w:p>
        </w:tc>
      </w:tr>
    </w:tbl>
    <w:p>
      <w:pPr>
        <w:spacing w:line="220" w:lineRule="atLeast"/>
        <w:rPr>
          <w:rFonts w:asciiTheme="minorEastAsia" w:hAnsiTheme="minorEastAsia" w:eastAsiaTheme="minorEastAsia"/>
          <w:sz w:val="28"/>
          <w:szCs w:val="28"/>
        </w:rPr>
      </w:pP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在2018年对口升学考试中，我校考生上线率、录取率与全省同类院校相比均处于领先地位，我校8名考生参加考试， 8名学生全部本科上线，被高校录取。</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2.5职业发展</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学校大力充分利用组织各类大赛的契机，将技术水平的应用与创业思维培养结合起来，努力增强学生的学习能力、岗位适应能力、岗位迁移能力和创新创业能力，为学生的优质发展服务。</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2.5.1 技能大赛</w:t>
      </w:r>
    </w:p>
    <w:p>
      <w:pPr>
        <w:pStyle w:val="4"/>
        <w:shd w:val="clear" w:color="auto" w:fill="FFFFFF"/>
        <w:spacing w:before="0" w:beforeAutospacing="0" w:after="0" w:afterAutospacing="0"/>
        <w:ind w:firstLine="560" w:firstLineChars="200"/>
        <w:rPr>
          <w:rFonts w:cs="Times New Roman"/>
          <w:bCs/>
          <w:color w:val="000000"/>
          <w:sz w:val="28"/>
          <w:szCs w:val="28"/>
        </w:rPr>
      </w:pPr>
      <w:r>
        <w:rPr>
          <w:bCs/>
          <w:color w:val="000000"/>
          <w:sz w:val="28"/>
          <w:szCs w:val="28"/>
        </w:rPr>
        <w:t>1</w:t>
      </w:r>
      <w:r>
        <w:rPr>
          <w:rFonts w:hint="eastAsia"/>
          <w:bCs/>
          <w:color w:val="000000"/>
          <w:sz w:val="28"/>
          <w:szCs w:val="28"/>
        </w:rPr>
        <w:t>、</w:t>
      </w:r>
      <w:r>
        <w:rPr>
          <w:bCs/>
          <w:color w:val="000000"/>
          <w:sz w:val="28"/>
          <w:szCs w:val="28"/>
        </w:rPr>
        <w:t>2018</w:t>
      </w:r>
      <w:r>
        <w:rPr>
          <w:rFonts w:hint="eastAsia"/>
          <w:bCs/>
          <w:color w:val="000000"/>
          <w:sz w:val="28"/>
          <w:szCs w:val="28"/>
        </w:rPr>
        <w:t>年</w:t>
      </w:r>
      <w:r>
        <w:rPr>
          <w:bCs/>
          <w:color w:val="000000"/>
          <w:sz w:val="28"/>
          <w:szCs w:val="28"/>
        </w:rPr>
        <w:t>4</w:t>
      </w:r>
      <w:r>
        <w:rPr>
          <w:rFonts w:hint="eastAsia"/>
          <w:bCs/>
          <w:color w:val="000000"/>
          <w:sz w:val="28"/>
          <w:szCs w:val="28"/>
        </w:rPr>
        <w:t>月</w:t>
      </w:r>
      <w:r>
        <w:rPr>
          <w:bCs/>
          <w:color w:val="000000"/>
          <w:sz w:val="28"/>
          <w:szCs w:val="28"/>
        </w:rPr>
        <w:t>6</w:t>
      </w:r>
      <w:r>
        <w:rPr>
          <w:rFonts w:hint="eastAsia"/>
          <w:bCs/>
          <w:color w:val="000000"/>
          <w:sz w:val="28"/>
          <w:szCs w:val="28"/>
        </w:rPr>
        <w:t>日我校参加郑州市武术“体彩杯”（套路）锦标赛，荣获第一名</w:t>
      </w:r>
      <w:r>
        <w:rPr>
          <w:bCs/>
          <w:color w:val="000000"/>
          <w:sz w:val="28"/>
          <w:szCs w:val="28"/>
        </w:rPr>
        <w:t>7</w:t>
      </w:r>
      <w:r>
        <w:rPr>
          <w:rFonts w:hint="eastAsia"/>
          <w:bCs/>
          <w:color w:val="000000"/>
          <w:sz w:val="28"/>
          <w:szCs w:val="28"/>
        </w:rPr>
        <w:t>项，第二名</w:t>
      </w:r>
      <w:r>
        <w:rPr>
          <w:bCs/>
          <w:color w:val="000000"/>
          <w:sz w:val="28"/>
          <w:szCs w:val="28"/>
        </w:rPr>
        <w:t>11</w:t>
      </w:r>
      <w:r>
        <w:rPr>
          <w:rFonts w:hint="eastAsia"/>
          <w:bCs/>
          <w:color w:val="000000"/>
          <w:sz w:val="28"/>
          <w:szCs w:val="28"/>
        </w:rPr>
        <w:t>项，第三名</w:t>
      </w:r>
      <w:r>
        <w:rPr>
          <w:bCs/>
          <w:color w:val="000000"/>
          <w:sz w:val="28"/>
          <w:szCs w:val="28"/>
        </w:rPr>
        <w:t>9</w:t>
      </w:r>
      <w:r>
        <w:rPr>
          <w:rFonts w:hint="eastAsia"/>
          <w:bCs/>
          <w:color w:val="000000"/>
          <w:sz w:val="28"/>
          <w:szCs w:val="28"/>
        </w:rPr>
        <w:t>项，第四名</w:t>
      </w:r>
      <w:r>
        <w:rPr>
          <w:bCs/>
          <w:color w:val="000000"/>
          <w:sz w:val="28"/>
          <w:szCs w:val="28"/>
        </w:rPr>
        <w:t>8</w:t>
      </w:r>
      <w:r>
        <w:rPr>
          <w:rFonts w:hint="eastAsia"/>
          <w:bCs/>
          <w:color w:val="000000"/>
          <w:sz w:val="28"/>
          <w:szCs w:val="28"/>
        </w:rPr>
        <w:t>项。</w:t>
      </w:r>
    </w:p>
    <w:p>
      <w:pPr>
        <w:pStyle w:val="4"/>
        <w:shd w:val="clear" w:color="auto" w:fill="FFFFFF"/>
        <w:spacing w:before="0" w:beforeAutospacing="0" w:after="0" w:afterAutospacing="0"/>
        <w:ind w:firstLine="560" w:firstLineChars="200"/>
        <w:rPr>
          <w:rFonts w:cs="Times New Roman"/>
          <w:bCs/>
          <w:color w:val="000000"/>
          <w:sz w:val="28"/>
          <w:szCs w:val="28"/>
        </w:rPr>
      </w:pPr>
      <w:r>
        <w:rPr>
          <w:bCs/>
          <w:color w:val="000000"/>
          <w:sz w:val="28"/>
          <w:szCs w:val="28"/>
        </w:rPr>
        <w:t>2</w:t>
      </w:r>
      <w:r>
        <w:rPr>
          <w:rFonts w:hint="eastAsia"/>
          <w:bCs/>
          <w:color w:val="000000"/>
          <w:sz w:val="28"/>
          <w:szCs w:val="28"/>
        </w:rPr>
        <w:t>、</w:t>
      </w:r>
      <w:r>
        <w:rPr>
          <w:bCs/>
          <w:color w:val="000000"/>
          <w:sz w:val="28"/>
          <w:szCs w:val="28"/>
        </w:rPr>
        <w:t>2018</w:t>
      </w:r>
      <w:r>
        <w:rPr>
          <w:rFonts w:hint="eastAsia"/>
          <w:bCs/>
          <w:color w:val="000000"/>
          <w:sz w:val="28"/>
          <w:szCs w:val="28"/>
        </w:rPr>
        <w:t>年</w:t>
      </w:r>
      <w:r>
        <w:rPr>
          <w:bCs/>
          <w:color w:val="000000"/>
          <w:sz w:val="28"/>
          <w:szCs w:val="28"/>
        </w:rPr>
        <w:t>5</w:t>
      </w:r>
      <w:r>
        <w:rPr>
          <w:rFonts w:hint="eastAsia"/>
          <w:bCs/>
          <w:color w:val="000000"/>
          <w:sz w:val="28"/>
          <w:szCs w:val="28"/>
        </w:rPr>
        <w:t>月</w:t>
      </w:r>
      <w:r>
        <w:rPr>
          <w:bCs/>
          <w:color w:val="000000"/>
          <w:sz w:val="28"/>
          <w:szCs w:val="28"/>
        </w:rPr>
        <w:t>26</w:t>
      </w:r>
      <w:r>
        <w:rPr>
          <w:rFonts w:hint="eastAsia"/>
          <w:bCs/>
          <w:color w:val="000000"/>
          <w:sz w:val="28"/>
          <w:szCs w:val="28"/>
        </w:rPr>
        <w:t>日我校参加河南省第二届传统武术（舞韵中原）“体彩杯”锦标赛，荣获一等奖</w:t>
      </w:r>
      <w:r>
        <w:rPr>
          <w:bCs/>
          <w:color w:val="000000"/>
          <w:sz w:val="28"/>
          <w:szCs w:val="28"/>
        </w:rPr>
        <w:t>14</w:t>
      </w:r>
      <w:r>
        <w:rPr>
          <w:rFonts w:hint="eastAsia"/>
          <w:bCs/>
          <w:color w:val="000000"/>
          <w:sz w:val="28"/>
          <w:szCs w:val="28"/>
        </w:rPr>
        <w:t>项。</w:t>
      </w:r>
    </w:p>
    <w:p>
      <w:pPr>
        <w:pStyle w:val="4"/>
        <w:shd w:val="clear" w:color="auto" w:fill="FFFFFF"/>
        <w:spacing w:before="0" w:beforeAutospacing="0" w:after="0" w:afterAutospacing="0"/>
        <w:ind w:firstLine="560" w:firstLineChars="200"/>
        <w:rPr>
          <w:rFonts w:cs="Times New Roman"/>
          <w:bCs/>
          <w:color w:val="000000"/>
          <w:sz w:val="28"/>
          <w:szCs w:val="28"/>
        </w:rPr>
      </w:pPr>
      <w:r>
        <w:rPr>
          <w:rFonts w:hint="eastAsia"/>
          <w:bCs/>
          <w:color w:val="000000"/>
          <w:sz w:val="28"/>
          <w:szCs w:val="28"/>
        </w:rPr>
        <w:t>3、</w:t>
      </w:r>
      <w:r>
        <w:rPr>
          <w:bCs/>
          <w:color w:val="000000"/>
          <w:sz w:val="28"/>
          <w:szCs w:val="28"/>
        </w:rPr>
        <w:t>2018</w:t>
      </w:r>
      <w:r>
        <w:rPr>
          <w:rFonts w:hint="eastAsia"/>
          <w:bCs/>
          <w:color w:val="000000"/>
          <w:sz w:val="28"/>
          <w:szCs w:val="28"/>
        </w:rPr>
        <w:t>年</w:t>
      </w:r>
      <w:r>
        <w:rPr>
          <w:bCs/>
          <w:color w:val="000000"/>
          <w:sz w:val="28"/>
          <w:szCs w:val="28"/>
        </w:rPr>
        <w:t>10</w:t>
      </w:r>
      <w:r>
        <w:rPr>
          <w:rFonts w:hint="eastAsia"/>
          <w:bCs/>
          <w:color w:val="000000"/>
          <w:sz w:val="28"/>
          <w:szCs w:val="28"/>
        </w:rPr>
        <w:t>月</w:t>
      </w:r>
      <w:r>
        <w:rPr>
          <w:bCs/>
          <w:color w:val="000000"/>
          <w:sz w:val="28"/>
          <w:szCs w:val="28"/>
        </w:rPr>
        <w:t>23</w:t>
      </w:r>
      <w:r>
        <w:rPr>
          <w:rFonts w:hint="eastAsia"/>
          <w:bCs/>
          <w:color w:val="000000"/>
          <w:sz w:val="28"/>
          <w:szCs w:val="28"/>
        </w:rPr>
        <w:t>日我校参加中国郑州国际少林武术节比赛，荣获一等奖</w:t>
      </w:r>
      <w:r>
        <w:rPr>
          <w:bCs/>
          <w:color w:val="000000"/>
          <w:sz w:val="28"/>
          <w:szCs w:val="28"/>
        </w:rPr>
        <w:t>7</w:t>
      </w:r>
      <w:r>
        <w:rPr>
          <w:rFonts w:hint="eastAsia"/>
          <w:bCs/>
          <w:color w:val="000000"/>
          <w:sz w:val="28"/>
          <w:szCs w:val="28"/>
        </w:rPr>
        <w:t>项，二等奖</w:t>
      </w:r>
      <w:r>
        <w:rPr>
          <w:bCs/>
          <w:color w:val="000000"/>
          <w:sz w:val="28"/>
          <w:szCs w:val="28"/>
        </w:rPr>
        <w:t>15</w:t>
      </w:r>
      <w:r>
        <w:rPr>
          <w:rFonts w:hint="eastAsia"/>
          <w:bCs/>
          <w:color w:val="000000"/>
          <w:sz w:val="28"/>
          <w:szCs w:val="28"/>
        </w:rPr>
        <w:t>项，三等奖</w:t>
      </w:r>
      <w:r>
        <w:rPr>
          <w:bCs/>
          <w:color w:val="000000"/>
          <w:sz w:val="28"/>
          <w:szCs w:val="28"/>
        </w:rPr>
        <w:t>36</w:t>
      </w:r>
      <w:r>
        <w:rPr>
          <w:rFonts w:hint="eastAsia"/>
          <w:bCs/>
          <w:color w:val="000000"/>
          <w:sz w:val="28"/>
          <w:szCs w:val="28"/>
        </w:rPr>
        <w:t>项。</w:t>
      </w:r>
    </w:p>
    <w:p>
      <w:pPr>
        <w:pStyle w:val="4"/>
        <w:shd w:val="clear" w:color="auto" w:fill="FFFFFF"/>
        <w:spacing w:before="0" w:beforeAutospacing="0" w:after="0" w:afterAutospacing="0"/>
        <w:ind w:firstLine="560" w:firstLineChars="200"/>
        <w:rPr>
          <w:bCs/>
          <w:color w:val="000000"/>
          <w:sz w:val="28"/>
          <w:szCs w:val="28"/>
        </w:rPr>
      </w:pPr>
      <w:r>
        <w:rPr>
          <w:rFonts w:hint="eastAsia"/>
          <w:bCs/>
          <w:color w:val="000000"/>
          <w:sz w:val="28"/>
          <w:szCs w:val="28"/>
        </w:rPr>
        <w:t>4、</w:t>
      </w:r>
      <w:r>
        <w:rPr>
          <w:bCs/>
          <w:color w:val="000000"/>
          <w:sz w:val="28"/>
          <w:szCs w:val="28"/>
        </w:rPr>
        <w:t>2018</w:t>
      </w:r>
      <w:r>
        <w:rPr>
          <w:rFonts w:hint="eastAsia"/>
          <w:bCs/>
          <w:color w:val="000000"/>
          <w:sz w:val="28"/>
          <w:szCs w:val="28"/>
        </w:rPr>
        <w:t>年</w:t>
      </w:r>
      <w:r>
        <w:rPr>
          <w:bCs/>
          <w:color w:val="000000"/>
          <w:sz w:val="28"/>
          <w:szCs w:val="28"/>
        </w:rPr>
        <w:t>11</w:t>
      </w:r>
      <w:r>
        <w:rPr>
          <w:rFonts w:hint="eastAsia"/>
          <w:bCs/>
          <w:color w:val="000000"/>
          <w:sz w:val="28"/>
          <w:szCs w:val="28"/>
        </w:rPr>
        <w:t>月我校参加河南省传统武术锦标赛</w:t>
      </w:r>
      <w:r>
        <w:rPr>
          <w:bCs/>
          <w:color w:val="000000"/>
          <w:sz w:val="28"/>
          <w:szCs w:val="28"/>
        </w:rPr>
        <w:t>3</w:t>
      </w:r>
      <w:r>
        <w:rPr>
          <w:rFonts w:hint="eastAsia"/>
          <w:bCs/>
          <w:color w:val="000000"/>
          <w:sz w:val="28"/>
          <w:szCs w:val="28"/>
        </w:rPr>
        <w:t>人，获得一等奖</w:t>
      </w:r>
      <w:r>
        <w:rPr>
          <w:bCs/>
          <w:color w:val="000000"/>
          <w:sz w:val="28"/>
          <w:szCs w:val="28"/>
        </w:rPr>
        <w:t>1</w:t>
      </w:r>
      <w:r>
        <w:rPr>
          <w:rFonts w:hint="eastAsia"/>
          <w:bCs/>
          <w:color w:val="000000"/>
          <w:sz w:val="28"/>
          <w:szCs w:val="28"/>
        </w:rPr>
        <w:t>项，优胜奖</w:t>
      </w:r>
      <w:r>
        <w:rPr>
          <w:bCs/>
          <w:color w:val="000000"/>
          <w:sz w:val="28"/>
          <w:szCs w:val="28"/>
        </w:rPr>
        <w:t>5</w:t>
      </w:r>
      <w:r>
        <w:rPr>
          <w:rFonts w:hint="eastAsia"/>
          <w:bCs/>
          <w:color w:val="000000"/>
          <w:sz w:val="28"/>
          <w:szCs w:val="28"/>
        </w:rPr>
        <w:t>项。</w:t>
      </w:r>
    </w:p>
    <w:p>
      <w:pPr>
        <w:pStyle w:val="4"/>
        <w:shd w:val="clear" w:color="auto" w:fill="FFFFFF"/>
        <w:spacing w:before="0" w:beforeAutospacing="0" w:after="0" w:afterAutospacing="0"/>
        <w:ind w:firstLine="560" w:firstLineChars="200"/>
        <w:rPr>
          <w:rFonts w:asciiTheme="minorEastAsia" w:hAnsiTheme="minorEastAsia" w:eastAsiaTheme="minorEastAsia"/>
          <w:sz w:val="28"/>
          <w:szCs w:val="28"/>
        </w:rPr>
      </w:pP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2.5. 2创新大赛</w:t>
      </w:r>
    </w:p>
    <w:p>
      <w:pPr>
        <w:pStyle w:val="4"/>
        <w:shd w:val="clear" w:color="auto" w:fill="FFFFFF"/>
        <w:spacing w:before="0" w:beforeAutospacing="0" w:after="0" w:afterAutospacing="0"/>
        <w:ind w:firstLine="560" w:firstLineChars="200"/>
        <w:rPr>
          <w:rFonts w:cs="Times New Roman"/>
          <w:bCs/>
          <w:color w:val="000000"/>
          <w:sz w:val="28"/>
          <w:szCs w:val="28"/>
        </w:rPr>
      </w:pPr>
      <w:r>
        <w:rPr>
          <w:rFonts w:hint="eastAsia" w:asciiTheme="minorEastAsia" w:hAnsiTheme="minorEastAsia" w:eastAsiaTheme="minorEastAsia"/>
          <w:sz w:val="28"/>
          <w:szCs w:val="28"/>
        </w:rPr>
        <w:t>在</w:t>
      </w:r>
      <w:r>
        <w:rPr>
          <w:bCs/>
          <w:color w:val="000000"/>
          <w:sz w:val="28"/>
          <w:szCs w:val="28"/>
        </w:rPr>
        <w:t>2018</w:t>
      </w:r>
      <w:r>
        <w:rPr>
          <w:rFonts w:hint="eastAsia"/>
          <w:bCs/>
          <w:color w:val="000000"/>
          <w:sz w:val="28"/>
          <w:szCs w:val="28"/>
        </w:rPr>
        <w:t>年</w:t>
      </w:r>
      <w:r>
        <w:rPr>
          <w:bCs/>
          <w:color w:val="000000"/>
          <w:sz w:val="28"/>
          <w:szCs w:val="28"/>
        </w:rPr>
        <w:t>7</w:t>
      </w:r>
      <w:r>
        <w:rPr>
          <w:rFonts w:hint="eastAsia"/>
          <w:bCs/>
          <w:color w:val="000000"/>
          <w:sz w:val="28"/>
          <w:szCs w:val="28"/>
        </w:rPr>
        <w:t>月在</w:t>
      </w:r>
      <w:r>
        <w:rPr>
          <w:bCs/>
          <w:color w:val="000000"/>
          <w:sz w:val="28"/>
          <w:szCs w:val="28"/>
        </w:rPr>
        <w:t xml:space="preserve"> </w:t>
      </w:r>
      <w:r>
        <w:rPr>
          <w:rFonts w:hint="eastAsia"/>
          <w:bCs/>
          <w:color w:val="000000"/>
          <w:sz w:val="28"/>
          <w:szCs w:val="28"/>
        </w:rPr>
        <w:t>“战太极”功夫王拳击争霸赛中，我校郑现文教练以绝对优势击败对手，获得</w:t>
      </w:r>
      <w:r>
        <w:rPr>
          <w:bCs/>
          <w:color w:val="000000"/>
          <w:sz w:val="28"/>
          <w:szCs w:val="28"/>
        </w:rPr>
        <w:t>75kg</w:t>
      </w:r>
      <w:r>
        <w:rPr>
          <w:rFonts w:hint="eastAsia"/>
          <w:bCs/>
          <w:color w:val="000000"/>
          <w:sz w:val="28"/>
          <w:szCs w:val="28"/>
        </w:rPr>
        <w:t>级冠军。</w:t>
      </w:r>
      <w:r>
        <w:rPr>
          <w:bCs/>
          <w:color w:val="000000"/>
          <w:sz w:val="28"/>
          <w:szCs w:val="28"/>
        </w:rPr>
        <w:t>9</w:t>
      </w:r>
      <w:r>
        <w:rPr>
          <w:rFonts w:hint="eastAsia"/>
          <w:bCs/>
          <w:color w:val="000000"/>
          <w:sz w:val="28"/>
          <w:szCs w:val="28"/>
        </w:rPr>
        <w:t>月，郑现文再次走上擂台，参加缅甸“</w:t>
      </w:r>
      <w:r>
        <w:rPr>
          <w:bCs/>
          <w:color w:val="000000"/>
          <w:sz w:val="28"/>
          <w:szCs w:val="28"/>
        </w:rPr>
        <w:t>DV</w:t>
      </w:r>
      <w:r>
        <w:rPr>
          <w:rFonts w:hint="eastAsia"/>
          <w:bCs/>
          <w:color w:val="000000"/>
          <w:sz w:val="28"/>
          <w:szCs w:val="28"/>
        </w:rPr>
        <w:t>杯”国际搏击对抗赛，获得冠军。</w:t>
      </w:r>
      <w:r>
        <w:rPr>
          <w:bCs/>
          <w:color w:val="000000"/>
          <w:sz w:val="28"/>
          <w:szCs w:val="28"/>
        </w:rPr>
        <w:t>10</w:t>
      </w:r>
      <w:r>
        <w:rPr>
          <w:rFonts w:hint="eastAsia"/>
          <w:bCs/>
          <w:color w:val="000000"/>
          <w:sz w:val="28"/>
          <w:szCs w:val="28"/>
        </w:rPr>
        <w:t>月，再次参加中外拳王“丽水站”争霸赛，再获</w:t>
      </w:r>
      <w:r>
        <w:rPr>
          <w:bCs/>
          <w:color w:val="000000"/>
          <w:sz w:val="28"/>
          <w:szCs w:val="28"/>
        </w:rPr>
        <w:t>75kg</w:t>
      </w:r>
      <w:r>
        <w:rPr>
          <w:rFonts w:hint="eastAsia"/>
          <w:bCs/>
          <w:color w:val="000000"/>
          <w:sz w:val="28"/>
          <w:szCs w:val="28"/>
        </w:rPr>
        <w:t>级冠军。</w:t>
      </w:r>
      <w:r>
        <w:rPr>
          <w:bCs/>
          <w:color w:val="000000"/>
          <w:sz w:val="28"/>
          <w:szCs w:val="28"/>
        </w:rPr>
        <w:t>11</w:t>
      </w:r>
      <w:r>
        <w:rPr>
          <w:rFonts w:hint="eastAsia"/>
          <w:bCs/>
          <w:color w:val="000000"/>
          <w:sz w:val="28"/>
          <w:szCs w:val="28"/>
        </w:rPr>
        <w:t>月参加昆仑俱乐部职业联赛，再获</w:t>
      </w:r>
      <w:r>
        <w:rPr>
          <w:bCs/>
          <w:color w:val="000000"/>
          <w:sz w:val="28"/>
          <w:szCs w:val="28"/>
        </w:rPr>
        <w:t>75kg</w:t>
      </w:r>
      <w:r>
        <w:rPr>
          <w:rFonts w:hint="eastAsia"/>
          <w:bCs/>
          <w:color w:val="000000"/>
          <w:sz w:val="28"/>
          <w:szCs w:val="28"/>
        </w:rPr>
        <w:t>级冠军。</w:t>
      </w:r>
    </w:p>
    <w:p>
      <w:pPr>
        <w:spacing w:line="220" w:lineRule="atLeast"/>
        <w:ind w:firstLine="280" w:firstLineChars="100"/>
        <w:rPr>
          <w:rFonts w:asciiTheme="minorEastAsia" w:hAnsiTheme="minorEastAsia" w:eastAsiaTheme="minorEastAsia"/>
          <w:sz w:val="28"/>
          <w:szCs w:val="28"/>
        </w:rPr>
      </w:pP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3.质量保障措施</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3.1专业动态调整</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与行业企业保持正常沟通，全面推进“工作任务分析”和“教学任务分析”，不断根据行业企业的最新需求，校企共同制订实施人才培养方案，调优课程设置，推进教学改革，在工作过程与学习过程的对接中提升职业教育教学质量。</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3.2教育教学改革</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强化教学常规的贯彻落实，严格教学过程管理，着力改进课堂生态，向课堂教学要质量，积极推进我校“德育课程重体验，文化课程重涵养，专业课程重实践”三大课程改革实施策略，在专业课程中及时更新、补充与生产一线相吻合的新知识、新技术和新方法，较好地体现了学生主体、能力本位、任务驱动的教学思想。</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3.2.1 课程改革与课程建设</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大力推行教育教学改革，推行工作过程导向教学范式，推进信息技术与教学深度融合，实施模块化教学、先学后教、案例教学、情景教学、游戏教学等方法，重视理实一体化教学，强化以育人为目标的实习实训综合考核评价；组织教师开发了3本专业技能课校本教材，开发3本德育系列教材，均已用作学生教材，得到家长、学生的好评。</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3.2.2 实训基地建设</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完成了与新郑市中医院、少林正骨堂、百艾堂等多家单位的对接，并建立具有本校特色的少林善悟堂，使学生得到充分的体验，在实训过程中求发展。</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3.2. 3中外合作办学</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与美国俄亥俄州、俄罗斯莫斯科合作，建立国外分校，有力的推动了少林武术和少林中医在全世界的传播和发扬，巴基斯坦、新加坡等其他国家的合作事宜正在洽谈当中。2017年6月，我院美国分校的师生代表到我校参加为期一个月的集训，为少林武术在海外的传播产生了积极的影响。2017年11月13日，俄罗斯国家电视台聚焦我院，了解少林禅武医文化，再次为少林文化在国际上的传播起到了应有的作用。</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3.3  教师培养培训</w:t>
      </w:r>
    </w:p>
    <w:p>
      <w:pPr>
        <w:pStyle w:val="4"/>
        <w:shd w:val="clear" w:color="auto" w:fill="FFFFFF"/>
        <w:spacing w:before="0" w:beforeAutospacing="0" w:after="0" w:afterAutospacing="0"/>
        <w:ind w:firstLine="560" w:firstLineChars="200"/>
        <w:rPr>
          <w:sz w:val="28"/>
          <w:szCs w:val="28"/>
        </w:rPr>
      </w:pPr>
      <w:r>
        <w:rPr>
          <w:rFonts w:hint="eastAsia" w:asciiTheme="minorEastAsia" w:hAnsiTheme="minorEastAsia" w:eastAsiaTheme="minorEastAsia"/>
          <w:sz w:val="28"/>
          <w:szCs w:val="28"/>
        </w:rPr>
        <w:t>大力培养“有理想信念、有道德情操、有扎实学识、有仁爱之心”的“四有”好教师，全力建设高水平名师工作室，以此引领各类“伙伴式”教研团队的快速成长。2018年9月，</w:t>
      </w:r>
      <w:r>
        <w:rPr>
          <w:rFonts w:hint="eastAsia" w:asciiTheme="minorEastAsia" w:hAnsiTheme="minorEastAsia" w:eastAsiaTheme="minorEastAsia"/>
          <w:bCs/>
          <w:color w:val="000000"/>
          <w:sz w:val="28"/>
          <w:szCs w:val="28"/>
        </w:rPr>
        <w:t>张素琼</w:t>
      </w:r>
      <w:r>
        <w:rPr>
          <w:rFonts w:hint="eastAsia" w:asciiTheme="minorEastAsia" w:hAnsiTheme="minorEastAsia" w:eastAsiaTheme="minorEastAsia"/>
          <w:sz w:val="28"/>
          <w:szCs w:val="28"/>
        </w:rPr>
        <w:t>老师被评为新郑市“师德标兵”。</w:t>
      </w:r>
      <w:r>
        <w:rPr>
          <w:bCs/>
          <w:color w:val="000000"/>
          <w:sz w:val="28"/>
          <w:szCs w:val="28"/>
        </w:rPr>
        <w:t>2018</w:t>
      </w:r>
      <w:r>
        <w:rPr>
          <w:rFonts w:hint="eastAsia"/>
          <w:bCs/>
          <w:color w:val="000000"/>
          <w:sz w:val="28"/>
          <w:szCs w:val="28"/>
        </w:rPr>
        <w:t>年</w:t>
      </w:r>
      <w:r>
        <w:rPr>
          <w:bCs/>
          <w:color w:val="000000"/>
          <w:sz w:val="28"/>
          <w:szCs w:val="28"/>
        </w:rPr>
        <w:t>10</w:t>
      </w:r>
      <w:r>
        <w:rPr>
          <w:rFonts w:hint="eastAsia"/>
          <w:bCs/>
          <w:color w:val="000000"/>
          <w:sz w:val="28"/>
          <w:szCs w:val="28"/>
        </w:rPr>
        <w:t>月，我校被新郑市教育体育局评为“新郑市教育教学先进单位”。院长张士杰被评为“优秀教育工作者”；赵晓静、马凯老师被评为优秀老师；何晓玉老师被评为优秀班主任。</w:t>
      </w:r>
      <w:r>
        <w:rPr>
          <w:sz w:val="28"/>
          <w:szCs w:val="28"/>
        </w:rPr>
        <w:t>2018</w:t>
      </w:r>
      <w:r>
        <w:rPr>
          <w:rFonts w:hint="eastAsia"/>
          <w:sz w:val="28"/>
          <w:szCs w:val="28"/>
        </w:rPr>
        <w:t>年</w:t>
      </w:r>
      <w:r>
        <w:rPr>
          <w:sz w:val="28"/>
          <w:szCs w:val="28"/>
        </w:rPr>
        <w:t>12</w:t>
      </w:r>
      <w:r>
        <w:rPr>
          <w:rFonts w:hint="eastAsia"/>
          <w:sz w:val="28"/>
          <w:szCs w:val="28"/>
        </w:rPr>
        <w:t>月我校被郑州市武术管理中心评为“郑州市先进武术馆校”。张士杰院长被评为先进武术馆校长，郑现文王、亚楠被评为先进工作者，张子绪、徐光通被评为优秀教练员。</w:t>
      </w:r>
    </w:p>
    <w:p>
      <w:pPr>
        <w:spacing w:line="220" w:lineRule="atLeast"/>
        <w:ind w:firstLine="280" w:firstLineChars="100"/>
        <w:rPr>
          <w:rFonts w:asciiTheme="minorEastAsia" w:hAnsiTheme="minorEastAsia" w:eastAsiaTheme="minorEastAsia"/>
          <w:sz w:val="28"/>
          <w:szCs w:val="28"/>
        </w:rPr>
      </w:pP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3.4  规范管理情况</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学校全方位强化教学管理、学生管理、财务管理、后勤管理、安全管理、科研管理和管理队伍建设，努力提升管理信息化水平。</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3.4.1教学规范执行</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对照《教育部办公厅关于建立职业院校教学工作诊断与改进制度的通知》、《省职业学校教学管理规范要求(试行)》要求，围绕职业能力和工作过程要求组织课程教学，强化教学常规的贯彻落实，严格教学过程管理，建立动态的课程改革和课程资源开发机制，开发完善的课程标准或教学要求；建设涵盖教学设计、教学实施、教学评价的专业教学资源库；开展基于真实工作场景下的实践教学，全面提高办学质量和效益。</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3.4. 2学生管理</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把社会主义核心价值观有机融入育人的全过程，将“八礼四仪”养成教育与本校“修身教育”课题研究结合起来，努力培养具有中华文化底蕴、中国特色社会主义共同理想、国际视野的社会主义合格建设者和可靠接班人，努力使德育规范转化为师生的自觉行动。编印了《学生管理工作手册》，为学生管理工作人员提供了全套文本资料；根据管理现实，改进了行政导护等常规管理规范。</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3.4.3 总务后勤</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各部门协同努力，学校投资数十万用于改造学校食堂设施，为师生创造了更加舒适干净的就餐环境，并吃上安全、多样化的饭菜。其二是用于教学设施设备建设，添置了武术活动器材，为师生工作和生活提供了便利，为学校长期发展奠定了坚实的基础。</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3.4.4 安全管理</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组织编印了《学校安全工作培训手册》，完善了安全工作机制，健全“日检查、周报告、月汇总”制度，对学校安全隐患开展无死角排查；组织学生签订了安全责任书；通过家校通平台、显示屏、标语、工作例会等平台，强化安全管理岗位教职工的安全意识；通过组织国旗下讲话、主题板报、给家长的一封信、观看视频、消防演练、安全知识考试等活动，组织开展师生安全法制教育；集中整治了学生隔墙购买小商贩食品的问题，消除食品安全隐患；保持与公安等部门的正常联系，及时处置安全突发事件；将全校学生安全信息录入平台，借助信息化手段实施安全管理。</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3.5  德育工作情况</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学校规范开设德育课，在校园文化建设、文明风采活动组织、社团活动、学生活动组织等方面发挥育人作用。</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3.5.1 “文明风采”大赛</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发动全校师生参与文明风采大赛，展示本校素质教育成果。</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3.5.2学生活动</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始终把“活力校园”建设作为学生课余生活的主旋律，努力挖掘蕴藏在学生中的不竭资源，为学生搭建平台，释放活力，激发潜力。学生处组织开展了社团观摩活动，评选出本学期“优秀社团”和“合格社团”，各社团活动成果得到了充分展示。</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 5.3 团组织活动</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加强团组织的规范化建设及对团委会、学生会的指导，发挥学生组织的“自我服务、自我治理、自我教育”作用。校团委加强了组织建设,放手组织学生会参与常规管理；切实做好团的强基固本工作，切实按标准发展团员，确保团员的先进性；强化共青团标识文化建设，充分发挥团员成长教育室对于团员成长的教育意义；组织开展了以“学党史、学国史，听党话、跟党走”为主题的演讲比赛等系列活动，通过活动让学生接受建党知识的洗礼；组织开展了“我在你身边—敬老院关爱老人暖心活动”，志愿者服务工作渐成特色；组织开展主题黑板报评比，高标准做好各项工作。</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3.5. 4校园文化</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积极调动各方面资源，多方学习成功学校的经验做法，广泛征求意见建议，着力提炼核心办学理念，精心打造校园文化，丰富专业文化，引进行业企业文化、绿色学校文化，努力构建本校特色的校园文化体系。目前学校文化建设方案基本成型，部分显性成果已经呈现，学校文化气息日益浓厚。</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3.6党建情况</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党支部充分发挥政治核心功能，继续深入学习党的精神和习近平总书记系列重要讲话精神，学习、践行社会主义核心价值观，积极调动全体党员教职工的先锋模范作用，为各项工作的顺利推进提供了有力的组织保证。严格师德考核机制，建立学校、教师、家长、学生四位一体的师德师风建设监督体系，为教师年度考核、绩效考评、职务评定晋升等方面提供参考。将师德表现作为教师教师绩效考核、职称评聘的首要内容，对违反师德搞有偿家教、体罚或变相体罚学生等行为，实行一票否决。继续签订承诺书，促进教师讲求职业操守、恪守诚信规范，努力做一个有理想信念、有道德情操、有扎实知识、有仁爱之心的好老师。坚持立德树人，在坚持狠抓常规管理、组织开展好系列活动的基础上，创新德育方法，积极探索德育工作新理念，搭建“课程教学”“主题教育”“社会实践”“团队建设”“校园文化”等德育教育平台，坚持把学校、家庭和社会共同参与、相互配合作为根本举措，增强德育工作的合力，不断提升德育工作的新成效。</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4.校企合作</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4.1 校企合作开展情况</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积极开展以“入企即入校、企校双师联合培养”为主要内容的现代学习制，深度开展校企合作，高质量地服务地方经济社会发展，新增了多家校企合作组合；学校顺应“互联网+”形势下企业对人才需求变化的趋势，共同培育跨专业综合性人才。</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4.2  学生实习情况</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精心组织学生赴合作单位参观、体验，约请合作单位的管理人员深入课堂为学生授课。</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5. 社会贡献</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5.1技术技能人才培养</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随着学校的发展，我们还积极的响应各级政府号召，参加各类公益活动：我校在新郑市劳动人事局的牵头下，免费向社会人员开展推拿按摩培训，宣传健康养生之道，为推动全民的健康事业付出了应有的努力。</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5.2社会服务</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在2018年河南省举办的中央电视台等众多国内媒体参与的人民政府轩辕黄帝拜祖大典中，我校的舞龙队承担了全部的舞龙项目，并派出九十余名师生参与治安保卫工作，为大典的成功举办增光添彩。我院应邀参加了2017年世界文化博览会，有力的推动了中国传统文化的深入发展。我院到航空港区平庄社区参加了“中华传统文化进社区-腾飞航空港”风采展示活动，使更多的人了解中华武术，了解中国的传统文化。</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6. 举办者履责</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6.1 办学 经费</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2017-2018年，学校通过各种创建活动，争取上级专项拨款，积极创建高水平现代化职业学校。</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6.2政策措施</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为解决我校专业教师紧缺的问题，积极筹划建立引进高技能人才的绿色通道，解决学校专业发展需要的专业人才聘用问题。同时，每年都面向社会招聘一批专业的技能指导教师，一些优秀人才陆续引进，极大的缓解了专业教师不足的问题。</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7. 特色创新</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学校创新管理方式，每年通过免费面向社会举办少林中医培训以及积极与国外院校合作，拓宽办学渠道，努力提升升学率，解决学生出路问题，推进目标管理，呈现管理轨迹。</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8. 存在 问题 与对策</w:t>
      </w:r>
    </w:p>
    <w:p>
      <w:pPr>
        <w:spacing w:line="220" w:lineRule="atLeas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办学经费不足问题，学校正在积极争取，筹措资金，精打细算，提高经费保障水平，有效缓解该问题。</w:t>
      </w:r>
    </w:p>
    <w:sectPr>
      <w:pgSz w:w="11906" w:h="16838"/>
      <w:pgMar w:top="1701" w:right="1418" w:bottom="1440"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1E2C"/>
    <w:rsid w:val="00060C96"/>
    <w:rsid w:val="000D3B94"/>
    <w:rsid w:val="00191BC4"/>
    <w:rsid w:val="0024481D"/>
    <w:rsid w:val="002D7CDB"/>
    <w:rsid w:val="00312860"/>
    <w:rsid w:val="00323B43"/>
    <w:rsid w:val="003575BB"/>
    <w:rsid w:val="003D37D8"/>
    <w:rsid w:val="00426133"/>
    <w:rsid w:val="00427061"/>
    <w:rsid w:val="004358AB"/>
    <w:rsid w:val="00446D42"/>
    <w:rsid w:val="0048580A"/>
    <w:rsid w:val="004A68F4"/>
    <w:rsid w:val="004B7068"/>
    <w:rsid w:val="004F168B"/>
    <w:rsid w:val="00501F4E"/>
    <w:rsid w:val="00571096"/>
    <w:rsid w:val="00596001"/>
    <w:rsid w:val="0059602A"/>
    <w:rsid w:val="005B5E3C"/>
    <w:rsid w:val="006310F3"/>
    <w:rsid w:val="006534EB"/>
    <w:rsid w:val="006F3018"/>
    <w:rsid w:val="00713511"/>
    <w:rsid w:val="00786C5C"/>
    <w:rsid w:val="007A5E5D"/>
    <w:rsid w:val="007B6687"/>
    <w:rsid w:val="00887326"/>
    <w:rsid w:val="008B7726"/>
    <w:rsid w:val="009327F5"/>
    <w:rsid w:val="009571D6"/>
    <w:rsid w:val="00B33CE0"/>
    <w:rsid w:val="00B57E7C"/>
    <w:rsid w:val="00B66FA4"/>
    <w:rsid w:val="00B85A25"/>
    <w:rsid w:val="00C228D7"/>
    <w:rsid w:val="00D17F0A"/>
    <w:rsid w:val="00D30BFB"/>
    <w:rsid w:val="00D31D50"/>
    <w:rsid w:val="00D3474B"/>
    <w:rsid w:val="00DF1A21"/>
    <w:rsid w:val="00DF6ECA"/>
    <w:rsid w:val="00E019C4"/>
    <w:rsid w:val="00E0345C"/>
    <w:rsid w:val="00E7202A"/>
    <w:rsid w:val="00EC2F62"/>
    <w:rsid w:val="00F5314C"/>
    <w:rsid w:val="00FE3F4C"/>
    <w:rsid w:val="5298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rFonts w:ascii="Tahoma" w:hAnsi="Tahoma"/>
      <w:sz w:val="18"/>
      <w:szCs w:val="18"/>
    </w:rPr>
  </w:style>
  <w:style w:type="character" w:customStyle="1" w:styleId="9">
    <w:name w:val="页脚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A294A-6284-4A53-AF7B-D20C3419CF3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1218</Words>
  <Characters>6943</Characters>
  <Lines>57</Lines>
  <Paragraphs>16</Paragraphs>
  <TotalTime>249</TotalTime>
  <ScaleCrop>false</ScaleCrop>
  <LinksUpToDate>false</LinksUpToDate>
  <CharactersWithSpaces>8145</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蕙光武院张会永</cp:lastModifiedBy>
  <dcterms:modified xsi:type="dcterms:W3CDTF">2019-03-11T02:36:11Z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